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797B" w:rsidRDefault="00A6532D">
      <w:pPr>
        <w:spacing w:before="60" w:after="60"/>
        <w:ind w:left="360"/>
        <w:rPr>
          <w:rFonts w:ascii="Arial" w:hAnsi="Arial" w:cs="Arial"/>
          <w:b/>
          <w:lang w:val="sr-Cyrl-RS"/>
        </w:rPr>
      </w:pPr>
      <w:bookmarkStart w:id="0" w:name="_GoBack"/>
      <w:bookmarkEnd w:id="0"/>
      <w:r>
        <w:rPr>
          <w:rFonts w:ascii="Arial" w:hAnsi="Arial" w:cs="Arial"/>
          <w:b/>
          <w:lang w:val="sr-Cyrl-RS"/>
        </w:rPr>
        <w:t>ПРИЛОГ 1: САНКЦИЈЕ УСЛЕД КРШЕЊА HSE ЗАХТЕВА</w:t>
      </w:r>
    </w:p>
    <w:p w:rsidR="005C797B" w:rsidRDefault="005C797B">
      <w:pPr>
        <w:spacing w:before="60" w:after="60"/>
        <w:ind w:left="360"/>
        <w:jc w:val="center"/>
        <w:rPr>
          <w:rFonts w:ascii="Arial" w:hAnsi="Arial" w:cs="Arial"/>
          <w:b/>
          <w:lang w:val="sr-Cyrl-RS"/>
        </w:rPr>
      </w:pPr>
    </w:p>
    <w:p w:rsidR="005C797B" w:rsidRDefault="005C797B">
      <w:pPr>
        <w:spacing w:before="60" w:after="60"/>
        <w:ind w:left="360"/>
        <w:jc w:val="center"/>
        <w:rPr>
          <w:rFonts w:ascii="Arial" w:hAnsi="Arial" w:cs="Arial"/>
          <w:b/>
          <w:lang w:val="sr-Cyrl-RS"/>
        </w:rPr>
      </w:pPr>
    </w:p>
    <w:p w:rsidR="005C797B" w:rsidRDefault="00A6532D">
      <w:pPr>
        <w:numPr>
          <w:ilvl w:val="1"/>
          <w:numId w:val="24"/>
        </w:numPr>
        <w:spacing w:before="120" w:after="120" w:line="276" w:lineRule="auto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Уколико запослени Извршиоца и/или лица ко</w:t>
      </w:r>
      <w:r>
        <w:rPr>
          <w:rFonts w:ascii="Arial" w:hAnsi="Arial" w:cs="Arial"/>
          <w:lang w:val="sr-Cyrl-RS"/>
        </w:rPr>
        <w:t>ја ангажује за пружање услуга / извођење радова који су предмет Уговора, прекрше било коју одредбу  Споразума о безбедности и здрављу на раду, заштити животне средине и заштити од пожара, у даљем тексту означен је као „HSE Споразум, Наручилац има право да:</w:t>
      </w:r>
    </w:p>
    <w:p w:rsidR="005C797B" w:rsidRDefault="00A6532D">
      <w:pPr>
        <w:numPr>
          <w:ilvl w:val="2"/>
          <w:numId w:val="24"/>
        </w:numPr>
        <w:spacing w:before="120" w:after="120" w:line="276" w:lineRule="auto"/>
        <w:ind w:left="562" w:hanging="562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Усмено опомене запосленог Извршиоца и/или лицу које је ангажовао уз слање писаног обавештења о истој Извршиоцу;</w:t>
      </w:r>
    </w:p>
    <w:p w:rsidR="005C797B" w:rsidRDefault="00A6532D">
      <w:pPr>
        <w:numPr>
          <w:ilvl w:val="2"/>
          <w:numId w:val="24"/>
        </w:numPr>
        <w:spacing w:before="120" w:after="120" w:line="276" w:lineRule="auto"/>
        <w:ind w:left="562" w:hanging="562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Писаним путем опомене запосленог Извршиоца и/или лицу које је ангажовао уз слање обавештења о истој Извршиоцу;</w:t>
      </w:r>
    </w:p>
    <w:p w:rsidR="005C797B" w:rsidRDefault="00A6532D">
      <w:pPr>
        <w:numPr>
          <w:ilvl w:val="2"/>
          <w:numId w:val="24"/>
        </w:numPr>
        <w:spacing w:before="120" w:after="120" w:line="276" w:lineRule="auto"/>
        <w:ind w:left="562" w:hanging="562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У случају да линијски руководила</w:t>
      </w:r>
      <w:r>
        <w:rPr>
          <w:rFonts w:ascii="Arial" w:hAnsi="Arial" w:cs="Arial"/>
          <w:lang w:val="sr-Cyrl-RS"/>
        </w:rPr>
        <w:t>ц, Извршиоца, организује посао на начин који је у супротности са «Златним HSE правилима» Наручилац има обавезу да истог удаљи са локације уз слање обавештења потписницима Уговора.</w:t>
      </w:r>
    </w:p>
    <w:p w:rsidR="005C797B" w:rsidRDefault="00A6532D">
      <w:pPr>
        <w:numPr>
          <w:ilvl w:val="2"/>
          <w:numId w:val="24"/>
        </w:numPr>
        <w:spacing w:before="120" w:after="120" w:line="276" w:lineRule="auto"/>
        <w:ind w:left="562" w:hanging="562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Забрани улазак у круг објекта и/или пословне просторије Наручиоца запосленом</w:t>
      </w:r>
      <w:r>
        <w:rPr>
          <w:rFonts w:ascii="Arial" w:hAnsi="Arial" w:cs="Arial"/>
          <w:lang w:val="sr-Cyrl-RS"/>
        </w:rPr>
        <w:t xml:space="preserve"> Извршиоца и/или лицу које је ангажовао у трајању од 5, 15, 30, 90 дана или трајно, уз слање обавештења о истој Извршиоцу. Ова санкција може бити изречена и у виду забране уласка возилом у круг објекта Наручиоца, односно уношења опреме, оруђа, средстава ил</w:t>
      </w:r>
      <w:r>
        <w:rPr>
          <w:rFonts w:ascii="Arial" w:hAnsi="Arial" w:cs="Arial"/>
          <w:lang w:val="sr-Cyrl-RS"/>
        </w:rPr>
        <w:t>и алата.</w:t>
      </w:r>
    </w:p>
    <w:p w:rsidR="005C797B" w:rsidRDefault="00A6532D">
      <w:pPr>
        <w:numPr>
          <w:ilvl w:val="2"/>
          <w:numId w:val="24"/>
        </w:numPr>
        <w:spacing w:before="120" w:after="120" w:line="276" w:lineRule="auto"/>
        <w:ind w:left="562" w:hanging="562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Уговорне Стране су сагласне да ће, у случају кршења  правила из области БЗР, ЗЖС и ЗОП ( у даљем тексту HSE) од стране Извршиоца, бити сачињен записник у коме ће бити констатована повреда одредби из члана 1 HSE Споразума, и који ће потписати овлаш</w:t>
      </w:r>
      <w:r>
        <w:rPr>
          <w:rFonts w:ascii="Arial" w:hAnsi="Arial" w:cs="Arial"/>
          <w:lang w:val="sr-Cyrl-RS"/>
        </w:rPr>
        <w:t>ћени представници Уговорних Страна. Наведени записник ће се сматрати правно валидним и у случају једностраног потписивања од стране Наручиоца (уз обавезу обавештавања Извршиоца), у случајевима када су уз записник приложени конкретни докази неправилних акти</w:t>
      </w:r>
      <w:r>
        <w:rPr>
          <w:rFonts w:ascii="Arial" w:hAnsi="Arial" w:cs="Arial"/>
          <w:lang w:val="sr-Cyrl-RS"/>
        </w:rPr>
        <w:t xml:space="preserve">вности Извршиоца и/или лица које је ангажовао (тј. записи поступака оперативног опсервирања, односно фотографије).  </w:t>
      </w:r>
    </w:p>
    <w:p w:rsidR="005C797B" w:rsidRDefault="00A6532D">
      <w:pPr>
        <w:numPr>
          <w:ilvl w:val="2"/>
          <w:numId w:val="24"/>
        </w:numPr>
        <w:spacing w:before="120" w:after="120" w:line="276" w:lineRule="auto"/>
        <w:ind w:left="562" w:hanging="562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Наручилац и Извршилац ће сарађивати у примени прописа HSE преко својих овлашћених лица и служби;</w:t>
      </w:r>
    </w:p>
    <w:p w:rsidR="005C797B" w:rsidRDefault="00A6532D">
      <w:pPr>
        <w:numPr>
          <w:ilvl w:val="2"/>
          <w:numId w:val="24"/>
        </w:numPr>
        <w:spacing w:before="120" w:after="120" w:line="276" w:lineRule="auto"/>
        <w:ind w:left="562" w:hanging="562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Неизвршење, делимично извршење или кршење </w:t>
      </w:r>
      <w:r>
        <w:rPr>
          <w:rFonts w:ascii="Arial" w:hAnsi="Arial" w:cs="Arial"/>
          <w:lang w:val="sr-Cyrl-RS"/>
        </w:rPr>
        <w:t>обавеза из HSE Споразума могу бити разлог за накнаду штете коју ће Извршилац надокнадити Наручиоцу у случају да је изазове запослени Извршиоца и/или  друга лица која ангажује за пружање услуга / извођење радова, услед кршења одредби HSE Споразума и  интерн</w:t>
      </w:r>
      <w:r>
        <w:rPr>
          <w:rFonts w:ascii="Arial" w:hAnsi="Arial" w:cs="Arial"/>
          <w:lang w:val="sr-Cyrl-RS"/>
        </w:rPr>
        <w:t>их процедура које важе код Наручиоца од стране  запослених Извршиоца и/или свих других лица која ангажује за пружање услуга / извођење радова;</w:t>
      </w:r>
    </w:p>
    <w:p w:rsidR="005C797B" w:rsidRDefault="00A6532D">
      <w:pPr>
        <w:numPr>
          <w:ilvl w:val="2"/>
          <w:numId w:val="24"/>
        </w:numPr>
        <w:spacing w:before="120" w:after="120" w:line="276" w:lineRule="auto"/>
        <w:ind w:left="562" w:hanging="562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Наручилац има право да раскине Уговор услед неизвршења, делимичног извршења или кршења обавеза из HSE Споразума о</w:t>
      </w:r>
      <w:r>
        <w:rPr>
          <w:rFonts w:ascii="Arial" w:hAnsi="Arial" w:cs="Arial"/>
          <w:lang w:val="sr-Cyrl-RS"/>
        </w:rPr>
        <w:t>д стране Извршиоца, без права Извршиоца да захтева накнаду штете насталу услед раскида Уговора по овом основу.</w:t>
      </w:r>
    </w:p>
    <w:p w:rsidR="005C797B" w:rsidRDefault="00A6532D">
      <w:pPr>
        <w:numPr>
          <w:ilvl w:val="2"/>
          <w:numId w:val="24"/>
        </w:numPr>
        <w:spacing w:before="60" w:after="60" w:line="276" w:lineRule="auto"/>
        <w:ind w:left="567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На основу записника из става 1.1.5. HSE Споразума, Наручилац сачињава Обрачун уговорне казне, за које има право да у наредном обрачунском периоду</w:t>
      </w:r>
      <w:r>
        <w:rPr>
          <w:rFonts w:ascii="Arial" w:hAnsi="Arial" w:cs="Arial"/>
          <w:lang w:val="sr-Cyrl-RS"/>
        </w:rPr>
        <w:t xml:space="preserve"> умањи износ фактуре за плаћање. На основу обрачунате уговорне казне, Наручилац је дужан да достави обрачун уговорне казне. Наручилац има право да наплати уговорну казну у следећим износима:</w:t>
      </w:r>
    </w:p>
    <w:p w:rsidR="005C797B" w:rsidRDefault="005C797B">
      <w:pPr>
        <w:spacing w:before="60" w:after="60"/>
        <w:jc w:val="both"/>
        <w:rPr>
          <w:rFonts w:ascii="Arial" w:hAnsi="Arial" w:cs="Arial"/>
          <w:lang w:val="sr-Cyrl-RS"/>
        </w:rPr>
      </w:pPr>
    </w:p>
    <w:p w:rsidR="005C797B" w:rsidRDefault="00A6532D">
      <w:pPr>
        <w:spacing w:after="160" w:line="259" w:lineRule="auto"/>
        <w:rPr>
          <w:rFonts w:ascii="Arial" w:hAnsi="Arial" w:cs="Arial"/>
          <w:sz w:val="10"/>
          <w:szCs w:val="10"/>
          <w:lang w:val="sr-Cyrl-RS"/>
        </w:rPr>
      </w:pPr>
      <w:r>
        <w:rPr>
          <w:rFonts w:ascii="Arial" w:hAnsi="Arial" w:cs="Arial"/>
          <w:sz w:val="10"/>
          <w:szCs w:val="10"/>
          <w:lang w:val="sr-Cyrl-RS"/>
        </w:rPr>
        <w:br w:type="page" w:clear="all"/>
      </w:r>
    </w:p>
    <w:p w:rsidR="005C797B" w:rsidRDefault="005C797B">
      <w:pPr>
        <w:spacing w:before="60" w:after="60"/>
        <w:jc w:val="both"/>
        <w:rPr>
          <w:rFonts w:ascii="Arial" w:hAnsi="Arial" w:cs="Arial"/>
          <w:sz w:val="10"/>
          <w:szCs w:val="10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20"/>
        <w:gridCol w:w="3447"/>
      </w:tblGrid>
      <w:tr w:rsidR="005C797B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sr-Cyrl-RS"/>
              </w:rPr>
              <w:t>Прекршај HSE захтева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ind w:hanging="25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sr-Cyrl-RS"/>
              </w:rPr>
              <w:t>Санкција</w:t>
            </w:r>
          </w:p>
        </w:tc>
      </w:tr>
      <w:tr w:rsidR="005C797B" w:rsidRPr="00A6532D">
        <w:trPr>
          <w:cantSplit/>
          <w:trHeight w:val="850"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jc w:val="both"/>
              <w:rPr>
                <w:rFonts w:ascii="Arial" w:hAnsi="Arial" w:cs="Arial"/>
                <w:color w:val="000000" w:themeColor="text1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Поступање Извршиоца супротно одредбама овог Споразума у случају проглашења ванредне ситуације, ванредног стања, ратне опасности, елементарне непогоде, епидемије;</w:t>
            </w:r>
            <w:r>
              <w:rPr>
                <w:rFonts w:ascii="Arial" w:hAnsi="Arial" w:cs="Arial"/>
                <w:color w:val="000000" w:themeColor="text1"/>
                <w:lang w:val="sr-Cyrl-RS"/>
              </w:rPr>
              <w:t xml:space="preserve"> 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ind w:hanging="25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200.000,00 РСД – за сваки утврђени случај од стране Наручиоца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ind w:hanging="964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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ab/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Неизвештавање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Наручиоца о догађајима из области HSE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ind w:hanging="25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20.000 РСД за сваки дан кашњења;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ind w:hanging="964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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ab/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Неизвештавање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Наручиоца о догађајима из области HSE;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ind w:hanging="25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за сваки накнадно утврђени случај;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Непостајање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прописаних лекарских и санитарних прегледа запослених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ind w:hanging="25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200.000 РСД за сваког запосленог и/или за свако ангажовано лице понаособ;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Непостојање пријаве здравственог осигурања запослених код Извршиоца и/или л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ица које је ангажовао;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ind w:hanging="25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за сваког запосленог и/или за свако ангажовано лице понаособ;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Непостојање пријаве здравственог осигурања запослених код Извршиоца и/или лица које је ангажовао за више од два утврђена случаја;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ind w:hanging="25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Могуће је покренути поступак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за отказ/раскид уговора са Извршиоцем;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Рад запосленог са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истеклим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периодичним лекарским прегледом (за запослене који раде на радним местима са повећаним ризиком, који улазе у зоне опасности, који врше високо-ризичне активности);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ind w:hanging="25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50.000 РСД за сваког запо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сленог и/или за свако ангажовано лице понаособ;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Одсуство или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некоришћење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прописаних ЛЗО запослених код Извршиоца и/или лица које је ангажовао, за први откривени случај;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ind w:hanging="25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20.000 РСД за сваки утврђени случај, запосленог и/или за свако ангажовано лице понаособ;</w:t>
            </w:r>
          </w:p>
        </w:tc>
      </w:tr>
      <w:tr w:rsidR="005C797B" w:rsidRPr="00A6532D">
        <w:trPr>
          <w:cantSplit/>
          <w:trHeight w:val="546"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Одсуство или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некоришћење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прописаних ЛЗО запослених код Извршиоца и/или лица које је ангажовао, за други поновљени случај;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ind w:hanging="25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50.000 РСД за сваки откривени случај, запосл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еног и/или за свако ангажовано лице понаособ;</w:t>
            </w:r>
          </w:p>
        </w:tc>
      </w:tr>
      <w:tr w:rsidR="005C797B" w:rsidRPr="00A6532D">
        <w:trPr>
          <w:cantSplit/>
          <w:trHeight w:val="871"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Одсуство или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некоришћење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прописаних ЛЗО запослених код Извршиоца и/или лица које је ангажовао, за трећи поновљени случај;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за сваки утврђени случај, запосленог и/или за свако ангажовано лице понаосо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б;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Одсуство или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некоришћење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прописаних ЛЗО запослених код Извршиоца и/или лица које је ангажовао, за четврти поновљени случај; 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Могуће је покренути поступак за отказ/раскид уговора са Извршиоцем;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Одсуство и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ли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некоришћење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прописаних ЛЗО запослених код Извршиоца и/или лица које је ангажовао за високоризичне активности  (топли послови, рад на висини, рад у затвореном простору, копање и ископавање, радови са опремом и постројењима под напоном, радови у Ех зони);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200.000 РСД за сваки утврђени случај, запосленог и/или за свако ангажовано лице понаособ;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Пушење или коришћење отвореног пламена на за то непредвиђеним местима, од стране 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200.000 РСД за сваки утврђе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ни случај;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Непостојање евиденције о законима и прописима дефинисаним обукама, квалификацијама, као и Уводним обукама за БЗР код Наручиоца,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20.000 РСД сваког запосленог и/или за свако ангажовано лице п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онаособ;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pStyle w:val="CommentText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Неиспуњење захтева дефинисаних законом о безбедности и здрављу на раду (члан 37 - уводно упознавање запослених извођача о упознавању и упозорењу о опасним местима, штетностима које се јављају, ризицима и специфичностима на локацији извођења угово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рених радних активности, мерама за безбедан и здрав рад које мора да примени, безбедним зонама кретања и др.).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Могуће је покренути поступак за отказ/раскид уговора са Извршиоцем</w:t>
            </w:r>
          </w:p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без штетних последица по иницијатора раскида уговорног односа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lastRenderedPageBreak/>
              <w:t>Непоседовање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ва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жећих стручних налаза, извештаја о прегледима, исправа о усаглашености или сертификата / дозвола за опрему, средства, оруђа или алате које у радним процесима користе запослени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50.000 РСД за сваки утврђени случај;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Непоштовање правила која се односе на зоне опасности, систем дозвола за рад и контроле високоризичних активности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200.000 РСД за сваки утврђени случај;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Непоштовање правила која се односе на интерна правила безбедности у саобраћају (као на пр. непрописно паркирање и остављање радне машине без предузимања безбедносних мера и без елиминације могућности од неовлашћене употребе, од стране запослених код Изврши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оца и/или лица које је ангажовао, и сл.)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50.000 РСД за сваки утврђени случај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bookmarkStart w:id="1" w:name="_Hlk195436203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Непоштовање захтева дефинисаних интерним стандардима, процедурама и упутствима  Наручиоца, од стране запослених код Извршиоца и/или лица које је ангажовао;</w:t>
            </w:r>
            <w:bookmarkEnd w:id="1"/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за сваки у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тврђени случај;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Непоштовање прописа из области заштите од пожара који се тичу изведби електричних уређаја, обавезе опремљености возила хватачем варница и/или уземљивачем,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за свак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и утврђени случај;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Непоштовање закона и прописа из области заштите од пожара,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за сваки утврђени случај;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Коришћење алкохола и/или других опојних средстава (наркотика) запослених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200.000 РСД за сваки утврђени случај;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Унос/ коришћење алкохола и/или других опојних средстава (наркотика) код запослених Извршиоца и/или лица које је ангажовао на улазно/излазним капијама;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за сваки у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тврђени случај;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Непоштовање закона и прописа или других одредби овог Споразума, из области планирања и изградње,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50.000 РСД за сваки откривени случај;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Непоштовање закона и или других одредб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и овог Споразума  из области управљања отпадом 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 за сваки утврђени случај;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Непоштовање закона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и прописа из области управљања амбалажом и амбалажним отпадом,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bookmarkStart w:id="2" w:name="__DdeLink__11969_2908413253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50.000 РСД за сваки утврђени случај;</w:t>
            </w:r>
            <w:bookmarkEnd w:id="2"/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Непоштовање закона и прописа или других одредби овог Споразума из области заштите вода, од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стране запослених код Извршиоца и/или лица које је ангажовао; </w:t>
            </w:r>
          </w:p>
        </w:tc>
        <w:tc>
          <w:tcPr>
            <w:tcW w:w="3447" w:type="dxa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 за сваки утврђени случај;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Непоштовање закона и прописа или других одредби овог Споразума из области заштите земљишта , од стране запослених код Извршиоца и/или лица које је ангаж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овао;</w:t>
            </w:r>
          </w:p>
        </w:tc>
        <w:tc>
          <w:tcPr>
            <w:tcW w:w="3447" w:type="dxa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 за сваки утврђени случај;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Непоштовање закона и прописа или других одредби овог Споразума из области заштите ваздуха, од стране запослених код Извршиоца и/или лица које је ангажовао;</w:t>
            </w:r>
          </w:p>
        </w:tc>
        <w:tc>
          <w:tcPr>
            <w:tcW w:w="3447" w:type="dxa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 за сваки утврђени случај;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lastRenderedPageBreak/>
              <w:t>Непоштовање за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кона и прописа или других одредби овог Споразума из области  рада са хемикалијама и опасним материјама, од стране запослених код Извршиоца и/или лица које је ангажовао;</w:t>
            </w:r>
          </w:p>
        </w:tc>
        <w:tc>
          <w:tcPr>
            <w:tcW w:w="3447" w:type="dxa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 за сваки утврђени случај;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Непоштовање закона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и прописа или других одредби овог Споразума из области ЗЖС  које нису наведене у посебним казненим одредбама (нпр. заштита од буке, заштита од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јонизујућег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нејонизујућег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зрачења и др.),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50.0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00 РСД за сваки утврђени случај;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Необавештавање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Наручиоца о ангажовању додатних трећих лица на пословима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предвиђеним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Уговором, од стране Извршиоца и/или лица које је првобитно ангажовао;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100.000 РСД за сваки утврђени случај; 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Неовлашћено коришћење и/или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руковање опремом, средствима, оруђима, алатима и инсталацијама свих врста Наручиоца,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за сваки утврђени случај;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Догађај или оштећење изазвано ненамерним конт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актом са надземним и/или подземним електричним водовима опремом и/или средствима за рад, изазвано  непажњом или кршењем интерних правила Наручиоца приликом извођења високоризичних активности,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за сваки утврђени случај;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Одбијање достављања релевантних докумената/сертификата/уверења/техничке документације на чије се постојање раније позивао, а све у циљу истраживања НЅЕ догађаја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100.000 РСД за сваки утврђени случај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недостављања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траже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 документације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Ангажовање додатних запослених или механизације без претходне сагласности Наручиоца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200.000 РСД за сваки утврђени случај.</w:t>
            </w:r>
          </w:p>
        </w:tc>
      </w:tr>
      <w:tr w:rsidR="005C797B" w:rsidRPr="00A6532D">
        <w:trPr>
          <w:cantSplit/>
          <w:jc w:val="center"/>
        </w:trPr>
        <w:tc>
          <w:tcPr>
            <w:tcW w:w="4820" w:type="dxa"/>
            <w:vAlign w:val="center"/>
          </w:tcPr>
          <w:p w:rsidR="005C797B" w:rsidRDefault="00A6532D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Неизвршавање пријаве повреде на раду на локацијама Блока Истраживање и производња у складу са Законом о рударству и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геолошким истраживањима чл.175</w:t>
            </w:r>
          </w:p>
        </w:tc>
        <w:tc>
          <w:tcPr>
            <w:tcW w:w="3447" w:type="dxa"/>
            <w:vAlign w:val="center"/>
          </w:tcPr>
          <w:p w:rsidR="005C797B" w:rsidRDefault="00A6532D">
            <w:pPr>
              <w:pStyle w:val="CommentText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500.000 РСД за сваки утврђени случај</w:t>
            </w:r>
          </w:p>
        </w:tc>
      </w:tr>
    </w:tbl>
    <w:p w:rsidR="005C797B" w:rsidRDefault="00A6532D">
      <w:pPr>
        <w:spacing w:before="120" w:after="120"/>
        <w:ind w:left="720" w:hanging="72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1.1.10. Овлашћена лица Наручиоца имају дискреционо право избора и/или комбинаци</w:t>
      </w:r>
      <w:r>
        <w:rPr>
          <w:rFonts w:ascii="Arial" w:hAnsi="Arial" w:cs="Arial"/>
          <w:lang w:val="sr-Cyrl-RS"/>
        </w:rPr>
        <w:t>је      санкција из претходне тачке и иста ће се приликом одлучивања руководити околностима конкретног случаја, као и тиме да се свако кршење обавеза из Прилога 3 HSE Споразума сматра опасном активношћу без обзира на то да ли су наступиле штетне последице.</w:t>
      </w:r>
    </w:p>
    <w:p w:rsidR="005C797B" w:rsidRDefault="00A6532D">
      <w:pPr>
        <w:tabs>
          <w:tab w:val="left" w:pos="567"/>
        </w:tabs>
        <w:spacing w:before="120" w:after="120"/>
        <w:ind w:left="720" w:hanging="72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1.1.11. У случају да Наручиоцу  буде  изречена новчана казна због кршења прописа из области   HSE, која је  последица радњи/пропуста запослених Извршиоца и/или лица која је ангажовао, Извршилац је дужан на Наручиоцу рефундира износ новчане казне као и да </w:t>
      </w:r>
      <w:r>
        <w:rPr>
          <w:rFonts w:ascii="Arial" w:hAnsi="Arial" w:cs="Arial"/>
          <w:lang w:val="sr-Cyrl-RS"/>
        </w:rPr>
        <w:t>му надокнади сву штету која је настала  по том основу.</w:t>
      </w:r>
    </w:p>
    <w:p w:rsidR="005C797B" w:rsidRDefault="00A6532D">
      <w:pPr>
        <w:tabs>
          <w:tab w:val="left" w:pos="567"/>
        </w:tabs>
        <w:spacing w:before="120" w:after="120"/>
        <w:ind w:left="720" w:hanging="72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1.1.12. У случају када је Извршилац нерезидент, и када је вредност уговора дефинисана у страној валути, плаћање уговорних казни (санкција) из чл. 1.1.9 овог Споразума могуће је извршити у валути која ј</w:t>
      </w:r>
      <w:r>
        <w:rPr>
          <w:rFonts w:ascii="Arial" w:hAnsi="Arial" w:cs="Arial"/>
          <w:lang w:val="sr-Cyrl-RS"/>
        </w:rPr>
        <w:t>е дефинисана уговором - по званичном средњем курсу Народне банке Србије (у даљем тексту: НБС) на дан плаћања. Ако је званични средњи курс НБС који је примењен на дан обрачуна уговорне казне виши од средњег курса НБС који важи на дан плаћања, Извршилац се о</w:t>
      </w:r>
      <w:r>
        <w:rPr>
          <w:rFonts w:ascii="Arial" w:hAnsi="Arial" w:cs="Arial"/>
          <w:lang w:val="sr-Cyrl-RS"/>
        </w:rPr>
        <w:t>бавезује да изврши прерачун и уплату разлике по званичном средњем курсу НБС који важи на дан плаћања.</w:t>
      </w:r>
    </w:p>
    <w:p w:rsidR="005C797B" w:rsidRDefault="00A6532D">
      <w:pPr>
        <w:tabs>
          <w:tab w:val="left" w:pos="567"/>
        </w:tabs>
        <w:spacing w:before="120" w:after="120"/>
        <w:ind w:left="720" w:hanging="72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1.1.13.  У случају да Извршилац радова током реализације уговора прекрши захтеве из области HSE за које су предвиђене санкције у складу са овим документом</w:t>
      </w:r>
      <w:r>
        <w:rPr>
          <w:rFonts w:ascii="Arial" w:hAnsi="Arial" w:cs="Arial"/>
          <w:lang w:val="sr-Cyrl-RS"/>
        </w:rPr>
        <w:t>, Извршилац има право да у складу са интерним упутством Наручиоца тражи замену покренуте новчане санкције одговарајућом корективном мером. Уколико се током трајања уговорних активности утврде слични (поновљени) прекршаји из области БЗР, ЗОП и ЗЖС изриче се</w:t>
      </w:r>
      <w:r>
        <w:rPr>
          <w:rFonts w:ascii="Arial" w:hAnsi="Arial" w:cs="Arial"/>
          <w:lang w:val="sr-Cyrl-RS"/>
        </w:rPr>
        <w:t xml:space="preserve"> новчана санкција Извођачу укључујући и санкцију за први утврђени прекршај, и одређује се износ за плаћање новчане санкције у складу са одредбама HSE Споразума која се не може усмерити на побољшање безбедности и здравља на раду код Извођача. </w:t>
      </w:r>
    </w:p>
    <w:p w:rsidR="005C797B" w:rsidRDefault="005C797B">
      <w:pPr>
        <w:spacing w:before="120" w:after="120" w:line="276" w:lineRule="auto"/>
        <w:jc w:val="both"/>
        <w:rPr>
          <w:rFonts w:ascii="Arial" w:hAnsi="Arial" w:cs="Arial"/>
          <w:lang w:val="sr-Cyrl-RS"/>
        </w:rPr>
      </w:pPr>
    </w:p>
    <w:sectPr w:rsidR="005C797B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993" w:right="1134" w:bottom="567" w:left="851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797B" w:rsidRDefault="00A6532D">
      <w:r>
        <w:separator/>
      </w:r>
    </w:p>
  </w:endnote>
  <w:endnote w:type="continuationSeparator" w:id="0">
    <w:p w:rsidR="005C797B" w:rsidRDefault="00A65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797B" w:rsidRDefault="005C797B">
    <w:pPr>
      <w:pStyle w:val="Header"/>
    </w:pPr>
  </w:p>
  <w:p w:rsidR="005C797B" w:rsidRDefault="005C797B"/>
  <w:p w:rsidR="005C797B" w:rsidRDefault="00A6532D">
    <w:pPr>
      <w:pStyle w:val="Footer"/>
      <w:rPr>
        <w:rFonts w:ascii="Arial" w:hAnsi="Arial" w:cs="Arial"/>
        <w:lang w:val="sr-Latn-RS"/>
      </w:rPr>
    </w:pPr>
    <w:r>
      <w:rPr>
        <w:rFonts w:ascii="Arial" w:hAnsi="Arial" w:cs="Arial"/>
        <w:lang w:val="sr-Cyrl-RS"/>
      </w:rPr>
      <w:t>ТФУ.ТХС.53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Latn-RS"/>
      </w:rPr>
      <w:t>4</w:t>
    </w:r>
  </w:p>
  <w:p w:rsidR="005C797B" w:rsidRDefault="005C79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797B" w:rsidRDefault="00A6532D">
    <w:pPr>
      <w:pStyle w:val="Footer"/>
      <w:rPr>
        <w:rFonts w:ascii="Arial" w:hAnsi="Arial" w:cs="Arial"/>
        <w:lang w:val="sr-Latn-RS"/>
      </w:rPr>
    </w:pPr>
    <w:r>
      <w:rPr>
        <w:rFonts w:ascii="Arial" w:hAnsi="Arial" w:cs="Arial"/>
        <w:lang w:val="sr-Cyrl-RS"/>
      </w:rPr>
      <w:t>ТФУ.ТХС.53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Latn-RS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797B" w:rsidRDefault="00A6532D">
    <w:pPr>
      <w:pStyle w:val="Footer"/>
      <w:rPr>
        <w:rFonts w:ascii="Arial" w:hAnsi="Arial" w:cs="Arial"/>
        <w:lang w:val="sr-Latn-RS"/>
      </w:rPr>
    </w:pPr>
    <w:r>
      <w:rPr>
        <w:rFonts w:ascii="Arial" w:hAnsi="Arial" w:cs="Arial"/>
        <w:lang w:val="sr-Cyrl-RS"/>
      </w:rPr>
      <w:t>ТФУ.ТХС.53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Latn-RS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797B" w:rsidRDefault="00A6532D">
      <w:r>
        <w:separator/>
      </w:r>
    </w:p>
  </w:footnote>
  <w:footnote w:type="continuationSeparator" w:id="0">
    <w:p w:rsidR="005C797B" w:rsidRDefault="00A65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797B" w:rsidRDefault="005C797B">
    <w:pPr>
      <w:pStyle w:val="Header"/>
      <w:jc w:val="right"/>
    </w:pPr>
  </w:p>
  <w:tbl>
    <w:tblPr>
      <w:tblW w:w="9923" w:type="dxa"/>
      <w:jc w:val="center"/>
      <w:tblLook w:val="00A0" w:firstRow="1" w:lastRow="0" w:firstColumn="1" w:lastColumn="0" w:noHBand="0" w:noVBand="0"/>
    </w:tblPr>
    <w:tblGrid>
      <w:gridCol w:w="2324"/>
      <w:gridCol w:w="6067"/>
      <w:gridCol w:w="1532"/>
    </w:tblGrid>
    <w:tr w:rsidR="005C797B">
      <w:trPr>
        <w:trHeight w:val="1131"/>
        <w:jc w:val="center"/>
      </w:trPr>
      <w:tc>
        <w:tcPr>
          <w:tcW w:w="2084" w:type="dxa"/>
          <w:vAlign w:val="center"/>
        </w:tcPr>
        <w:p w:rsidR="005C797B" w:rsidRDefault="00A6532D">
          <w:pPr>
            <w:spacing w:before="120" w:after="12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noProof/>
              <w:lang w:val="sr-Latn-RS" w:eastAsia="sr-Latn-RS"/>
            </w:rPr>
            <mc:AlternateContent>
              <mc:Choice Requires="wpg">
                <w:drawing>
                  <wp:inline distT="0" distB="0" distL="0" distR="0">
                    <wp:extent cx="1338629" cy="654050"/>
                    <wp:effectExtent l="0" t="0" r="0" b="0"/>
                    <wp:docPr id="1" name="Picture 19" descr="R:\REF THS Transformacija\12 - Šabloni i logo\Logo\Novi logotipi\NAFTAGAS TEHNICKI SERVISI cir hor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R:\REF THS Transformacija\12 - Šabloni i logo\Logo\Novi logotipi\NAFTAGAS TEHNICKI SERVISI cir hor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345757" cy="65753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105.40pt;height:51.50pt;mso-wrap-distance-left:0.00pt;mso-wrap-distance-top:0.00pt;mso-wrap-distance-right:0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6280" w:type="dxa"/>
          <w:vAlign w:val="center"/>
        </w:tcPr>
        <w:p w:rsidR="005C797B" w:rsidRDefault="005C797B">
          <w:pPr>
            <w:keepNext/>
            <w:jc w:val="center"/>
            <w:outlineLvl w:val="0"/>
            <w:rPr>
              <w:rFonts w:ascii="Arial" w:hAnsi="Arial" w:cs="Arial"/>
              <w:b/>
              <w:bCs/>
              <w:sz w:val="18"/>
              <w:szCs w:val="18"/>
              <w:lang w:val="ru-RU"/>
            </w:rPr>
          </w:pPr>
        </w:p>
      </w:tc>
      <w:tc>
        <w:tcPr>
          <w:tcW w:w="1559" w:type="dxa"/>
          <w:vAlign w:val="center"/>
        </w:tcPr>
        <w:p w:rsidR="005C797B" w:rsidRDefault="00A6532D">
          <w:pPr>
            <w:rPr>
              <w:rFonts w:ascii="Arial" w:hAnsi="Arial" w:cs="Arial"/>
              <w:i/>
              <w:sz w:val="18"/>
              <w:szCs w:val="18"/>
              <w:lang w:val="sr-Cyrl-CS"/>
            </w:rPr>
          </w:pPr>
          <w:r>
            <w:rPr>
              <w:rFonts w:ascii="Arial" w:hAnsi="Arial" w:cs="Arial"/>
              <w:i/>
              <w:sz w:val="18"/>
              <w:szCs w:val="18"/>
              <w:lang w:val="sr-Cyrl-CS"/>
            </w:rPr>
            <w:t>Типска форма</w:t>
          </w:r>
        </w:p>
      </w:tc>
    </w:tr>
  </w:tbl>
  <w:p w:rsidR="005C797B" w:rsidRDefault="005C79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2688F"/>
    <w:multiLevelType w:val="multilevel"/>
    <w:tmpl w:val="ECC498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F65D5"/>
    <w:multiLevelType w:val="multilevel"/>
    <w:tmpl w:val="0B68CEE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2" w15:restartNumberingAfterBreak="0">
    <w:nsid w:val="0FA141FE"/>
    <w:multiLevelType w:val="multilevel"/>
    <w:tmpl w:val="3A4E2E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455B0E"/>
    <w:multiLevelType w:val="multilevel"/>
    <w:tmpl w:val="D8CED7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4" w15:restartNumberingAfterBreak="0">
    <w:nsid w:val="1AC41305"/>
    <w:multiLevelType w:val="multilevel"/>
    <w:tmpl w:val="13F87C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F36BE"/>
    <w:multiLevelType w:val="multilevel"/>
    <w:tmpl w:val="A5AEA0BC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6" w15:restartNumberingAfterBreak="0">
    <w:nsid w:val="1E2B7C68"/>
    <w:multiLevelType w:val="multilevel"/>
    <w:tmpl w:val="BB1E06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3052F1"/>
    <w:multiLevelType w:val="multilevel"/>
    <w:tmpl w:val="78CC85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A56F0F"/>
    <w:multiLevelType w:val="multilevel"/>
    <w:tmpl w:val="F8F0B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778BB"/>
    <w:multiLevelType w:val="multilevel"/>
    <w:tmpl w:val="2AF092D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7D67C1"/>
    <w:multiLevelType w:val="multilevel"/>
    <w:tmpl w:val="062AB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" w15:restartNumberingAfterBreak="0">
    <w:nsid w:val="44122B13"/>
    <w:multiLevelType w:val="multilevel"/>
    <w:tmpl w:val="4EA211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2" w15:restartNumberingAfterBreak="0">
    <w:nsid w:val="49086D40"/>
    <w:multiLevelType w:val="multilevel"/>
    <w:tmpl w:val="BC62860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4754EF"/>
    <w:multiLevelType w:val="multilevel"/>
    <w:tmpl w:val="3FDAED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4" w15:restartNumberingAfterBreak="0">
    <w:nsid w:val="533F4F82"/>
    <w:multiLevelType w:val="multilevel"/>
    <w:tmpl w:val="648CA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lang w:val="en-AU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6B1156E"/>
    <w:multiLevelType w:val="multilevel"/>
    <w:tmpl w:val="04C2F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5C0BB7"/>
    <w:multiLevelType w:val="multilevel"/>
    <w:tmpl w:val="BF42F6B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565440"/>
    <w:multiLevelType w:val="multilevel"/>
    <w:tmpl w:val="A68E2BE2"/>
    <w:lvl w:ilvl="0">
      <w:start w:val="1"/>
      <w:numFmt w:val="bullet"/>
      <w:pStyle w:val="Level1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8" w15:restartNumberingAfterBreak="0">
    <w:nsid w:val="6DC145A5"/>
    <w:multiLevelType w:val="multilevel"/>
    <w:tmpl w:val="DFCE8592"/>
    <w:lvl w:ilvl="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 w15:restartNumberingAfterBreak="0">
    <w:nsid w:val="70CA4FB5"/>
    <w:multiLevelType w:val="multilevel"/>
    <w:tmpl w:val="B9C8E120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0" w15:restartNumberingAfterBreak="0">
    <w:nsid w:val="736374E1"/>
    <w:multiLevelType w:val="multilevel"/>
    <w:tmpl w:val="297AB32C"/>
    <w:lvl w:ilvl="0">
      <w:start w:val="2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5185D3D"/>
    <w:multiLevelType w:val="multilevel"/>
    <w:tmpl w:val="13ECB3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2" w15:restartNumberingAfterBreak="0">
    <w:nsid w:val="77DE5501"/>
    <w:multiLevelType w:val="multilevel"/>
    <w:tmpl w:val="00DE8296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D64457B"/>
    <w:multiLevelType w:val="multilevel"/>
    <w:tmpl w:val="39A6FE1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4"/>
  </w:num>
  <w:num w:numId="4">
    <w:abstractNumId w:val="17"/>
  </w:num>
  <w:num w:numId="5">
    <w:abstractNumId w:val="21"/>
  </w:num>
  <w:num w:numId="6">
    <w:abstractNumId w:val="23"/>
  </w:num>
  <w:num w:numId="7">
    <w:abstractNumId w:val="18"/>
  </w:num>
  <w:num w:numId="8">
    <w:abstractNumId w:val="9"/>
  </w:num>
  <w:num w:numId="9">
    <w:abstractNumId w:val="5"/>
  </w:num>
  <w:num w:numId="10">
    <w:abstractNumId w:val="4"/>
  </w:num>
  <w:num w:numId="11">
    <w:abstractNumId w:val="0"/>
  </w:num>
  <w:num w:numId="12">
    <w:abstractNumId w:val="13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6"/>
  </w:num>
  <w:num w:numId="16">
    <w:abstractNumId w:val="1"/>
  </w:num>
  <w:num w:numId="17">
    <w:abstractNumId w:val="8"/>
  </w:num>
  <w:num w:numId="18">
    <w:abstractNumId w:val="11"/>
  </w:num>
  <w:num w:numId="19">
    <w:abstractNumId w:val="19"/>
  </w:num>
  <w:num w:numId="20">
    <w:abstractNumId w:val="7"/>
  </w:num>
  <w:num w:numId="21">
    <w:abstractNumId w:val="6"/>
  </w:num>
  <w:num w:numId="22">
    <w:abstractNumId w:val="22"/>
  </w:num>
  <w:num w:numId="23">
    <w:abstractNumId w:val="2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cumentProtection w:edit="comments" w:enforcement="1" w:cryptProviderType="rsaAES" w:cryptAlgorithmClass="hash" w:cryptAlgorithmType="typeAny" w:cryptAlgorithmSid="14" w:cryptSpinCount="100000" w:hash="FGe8Dj/odgk1Eui578YWdlz+TQXqzvWCie5pIhw7UZQt5XoN1tkZ+1E5iGeWhCMvntYQyEPSZEP3hE65Pqax2A==" w:salt="g6EevuhNSl9NubYZvVpDNQ==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97B"/>
    <w:rsid w:val="005C797B"/>
    <w:rsid w:val="00A6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139F97A-D470-41A9-8C19-558E21C5D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jc w:val="center"/>
      <w:outlineLvl w:val="0"/>
    </w:pPr>
    <w:rPr>
      <w:rFonts w:ascii="Tms Rmn" w:hAnsi="Tms Rm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character" w:customStyle="1" w:styleId="Heading1Char">
    <w:name w:val="Heading 1 Char"/>
    <w:basedOn w:val="DefaultParagraphFont"/>
    <w:link w:val="Heading1"/>
    <w:rPr>
      <w:rFonts w:ascii="Tms Rmn" w:eastAsia="Times New Roman" w:hAnsi="Tms Rmn" w:cs="Times New Roman"/>
      <w:b/>
      <w:bCs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Arial"/>
      <w:b/>
      <w:bCs/>
      <w:i/>
      <w:iCs/>
      <w:sz w:val="28"/>
      <w:szCs w:val="28"/>
      <w:lang w:val="en-AU"/>
    </w:rPr>
  </w:style>
  <w:style w:type="character" w:customStyle="1" w:styleId="Heading3Char">
    <w:name w:val="Heading 3 Char"/>
    <w:basedOn w:val="DefaultParagraphFont"/>
    <w:link w:val="Heading3"/>
    <w:rPr>
      <w:rFonts w:ascii="Arial" w:eastAsia="Times New Roman" w:hAnsi="Arial" w:cs="Arial"/>
      <w:b/>
      <w:bCs/>
      <w:sz w:val="26"/>
      <w:szCs w:val="26"/>
      <w:lang w:val="en-AU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Times New Roman" w:hAnsi="Times New Roman" w:cs="Times New Roman"/>
      <w:b/>
      <w:bCs/>
      <w:sz w:val="28"/>
      <w:szCs w:val="28"/>
      <w:lang w:val="en-AU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bCs/>
      <w:i/>
      <w:iCs/>
      <w:sz w:val="26"/>
      <w:szCs w:val="26"/>
      <w:lang w:val="en-AU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bCs/>
      <w:lang w:val="en-AU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 w:cs="Arial"/>
      <w:lang w:val="en-AU"/>
    </w:rPr>
  </w:style>
  <w:style w:type="paragraph" w:styleId="BlockText">
    <w:name w:val="Block Text"/>
    <w:basedOn w:val="Normal"/>
    <w:pPr>
      <w:ind w:left="1440" w:right="1440"/>
    </w:pPr>
    <w:rPr>
      <w:sz w:val="26"/>
      <w:lang w:val="en-US"/>
    </w:rPr>
  </w:style>
  <w:style w:type="paragraph" w:customStyle="1" w:styleId="TextCroatia">
    <w:name w:val="Text_Croatia"/>
    <w:basedOn w:val="Normal"/>
    <w:qFormat/>
    <w:pPr>
      <w:widowControl w:val="0"/>
      <w:spacing w:before="240"/>
      <w:jc w:val="both"/>
    </w:pPr>
    <w:rPr>
      <w:rFonts w:ascii="Arial" w:hAnsi="Arial"/>
      <w:lang w:val="hr-H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Level1">
    <w:name w:val="Level 1"/>
    <w:basedOn w:val="Normal"/>
    <w:link w:val="Level1Char"/>
    <w:pPr>
      <w:numPr>
        <w:numId w:val="4"/>
      </w:numPr>
      <w:spacing w:before="120" w:line="280" w:lineRule="atLeast"/>
    </w:pPr>
    <w:rPr>
      <w:rFonts w:ascii="Arial" w:hAnsi="Arial"/>
      <w:sz w:val="22"/>
      <w:lang w:val="en-GB"/>
    </w:rPr>
  </w:style>
  <w:style w:type="character" w:customStyle="1" w:styleId="Level1Char">
    <w:name w:val="Level 1 Char"/>
    <w:link w:val="Level1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3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oter2.xml" Type="http://schemas.openxmlformats.org/officeDocument/2006/relationships/footer"/><Relationship Id="rId9" Target="header1.xml" Type="http://schemas.openxmlformats.org/officeDocument/2006/relationships/header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10.png" Type="http://schemas.openxmlformats.org/officeDocument/2006/relationships/image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1917</Words>
  <Characters>10930</Characters>
  <Application>Microsoft Office Word</Application>
  <DocSecurity>8</DocSecurity>
  <Lines>91</Lines>
  <Paragraphs>25</Paragraphs>
  <ScaleCrop>false</ScaleCrop>
  <Company/>
  <LinksUpToDate>false</LinksUpToDate>
  <CharactersWithSpaces>12822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2026-01-14T14:02:00Z</dcterms:created>
  <dc:creator>milica pantin</dc:creator>
  <cp:keywords>Klasifikacija: За интерну употребу/Restricted</cp:keywords>
  <cp:lastModifiedBy>Vanja Mavrenski</cp:lastModifiedBy>
  <dcterms:modified xsi:type="dcterms:W3CDTF">2026-05-08T13:36:00Z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554836a8-8519-4b03-b39e-0d6e275c611d</vt:lpwstr>
  </property>
  <property fmtid="{D5CDD505-2E9C-101B-9397-08002B2CF9AE}" pid="3" name="NISKlasifikacija">
    <vt:lpwstr>Za-internu-upotrebu-Restricted</vt:lpwstr>
  </property>
  <property fmtid="{D5CDD505-2E9C-101B-9397-08002B2CF9AE}" pid="4" name="Klasifikacija">
    <vt:lpwstr>Za-internu-upotrebu-Restricted</vt:lpwstr>
  </property>
</Properties>
</file>